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76F62110" w14:textId="6E84EB19" w:rsidR="003A3DC1" w:rsidRPr="008810B1" w:rsidRDefault="00533126" w:rsidP="00533126">
      <w:pPr>
        <w:pStyle w:val="Title"/>
        <w:spacing w:after="40"/>
        <w:jc w:val="center"/>
        <w:rPr>
          <w:rFonts w:ascii="Montserrat" w:hAnsi="Montserrat"/>
          <w:b/>
          <w:bCs/>
          <w:color w:val="EE3424"/>
        </w:rPr>
      </w:pPr>
      <w:r w:rsidRPr="008810B1">
        <w:rPr>
          <w:rFonts w:ascii="Montserrat" w:hAnsi="Montserrat"/>
          <w:b/>
          <w:bCs/>
          <w:color w:val="EE3424"/>
        </w:rPr>
        <w:t>Advertising Investment Data Inventory</w:t>
      </w:r>
    </w:p>
    <w:p w14:paraId="7C3C119E" w14:textId="7E045F92" w:rsidR="00533126" w:rsidRPr="00533126" w:rsidRDefault="00533126" w:rsidP="00533126">
      <w:pPr>
        <w:spacing w:after="240"/>
        <w:jc w:val="center"/>
      </w:pPr>
      <w:r>
        <w:t xml:space="preserve">From </w:t>
      </w:r>
      <w:hyperlink r:id="rId7" w:history="1">
        <w:r w:rsidRPr="00AD68DE">
          <w:rPr>
            <w:rStyle w:val="Hyperlink"/>
          </w:rPr>
          <w:t xml:space="preserve">Anatomy </w:t>
        </w:r>
        <w:r w:rsidR="007A1772" w:rsidRPr="00AD68DE">
          <w:rPr>
            <w:rStyle w:val="Hyperlink"/>
          </w:rPr>
          <w:t xml:space="preserve">of </w:t>
        </w:r>
        <w:r w:rsidRPr="00AD68DE">
          <w:rPr>
            <w:rStyle w:val="Hyperlink"/>
          </w:rPr>
          <w:t>an Advertising Investment Tracking System</w:t>
        </w:r>
      </w:hyperlink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01"/>
        <w:gridCol w:w="4553"/>
        <w:gridCol w:w="2279"/>
        <w:gridCol w:w="5557"/>
      </w:tblGrid>
      <w:tr w:rsidR="00533126" w:rsidRPr="00533126" w14:paraId="1F3B9605" w14:textId="77777777" w:rsidTr="000B25F0">
        <w:tc>
          <w:tcPr>
            <w:tcW w:w="695" w:type="pct"/>
            <w:shd w:val="clear" w:color="auto" w:fill="F2F2F2" w:themeFill="background1" w:themeFillShade="F2"/>
          </w:tcPr>
          <w:p w14:paraId="3179AFA0" w14:textId="77777777" w:rsidR="00533126" w:rsidRPr="00533126" w:rsidRDefault="00533126" w:rsidP="00152DE7">
            <w:r w:rsidRPr="00533126">
              <w:t>Data Type</w:t>
            </w:r>
          </w:p>
        </w:tc>
        <w:tc>
          <w:tcPr>
            <w:tcW w:w="1582" w:type="pct"/>
            <w:shd w:val="clear" w:color="auto" w:fill="F2F2F2" w:themeFill="background1" w:themeFillShade="F2"/>
          </w:tcPr>
          <w:p w14:paraId="245366D1" w14:textId="77777777" w:rsidR="00533126" w:rsidRPr="00533126" w:rsidRDefault="00533126" w:rsidP="00152DE7">
            <w:r w:rsidRPr="00533126">
              <w:t>Description</w:t>
            </w:r>
          </w:p>
        </w:tc>
        <w:tc>
          <w:tcPr>
            <w:tcW w:w="792" w:type="pct"/>
            <w:shd w:val="clear" w:color="auto" w:fill="F2F2F2" w:themeFill="background1" w:themeFillShade="F2"/>
          </w:tcPr>
          <w:p w14:paraId="2E9C23AA" w14:textId="44E88673" w:rsidR="00533126" w:rsidRPr="00533126" w:rsidRDefault="00533126" w:rsidP="00152DE7">
            <w:r w:rsidRPr="00533126">
              <w:t>System</w:t>
            </w:r>
            <w:r w:rsidR="000B25F0">
              <w:t>(s)</w:t>
            </w:r>
            <w:r w:rsidRPr="00533126">
              <w:t xml:space="preserve"> of Record</w:t>
            </w:r>
          </w:p>
        </w:tc>
        <w:tc>
          <w:tcPr>
            <w:tcW w:w="1931" w:type="pct"/>
            <w:shd w:val="clear" w:color="auto" w:fill="F2F2F2" w:themeFill="background1" w:themeFillShade="F2"/>
          </w:tcPr>
          <w:p w14:paraId="3710EC07" w14:textId="77777777" w:rsidR="00533126" w:rsidRPr="00533126" w:rsidRDefault="00533126" w:rsidP="00152DE7">
            <w:r w:rsidRPr="00533126">
              <w:t>ETL Strategy</w:t>
            </w:r>
          </w:p>
        </w:tc>
      </w:tr>
      <w:tr w:rsidR="00533126" w:rsidRPr="00533126" w14:paraId="2984222C" w14:textId="77777777" w:rsidTr="009E4851">
        <w:tc>
          <w:tcPr>
            <w:tcW w:w="695" w:type="pct"/>
            <w:shd w:val="clear" w:color="auto" w:fill="FFFFFF" w:themeFill="background1"/>
          </w:tcPr>
          <w:p w14:paraId="4BF7109D" w14:textId="77777777" w:rsidR="00533126" w:rsidRPr="00533126" w:rsidRDefault="00533126" w:rsidP="00152DE7">
            <w:r w:rsidRPr="00533126">
              <w:t>Budget Data</w:t>
            </w:r>
          </w:p>
        </w:tc>
        <w:tc>
          <w:tcPr>
            <w:tcW w:w="1582" w:type="pct"/>
            <w:shd w:val="clear" w:color="auto" w:fill="FFFFFF" w:themeFill="background1"/>
          </w:tcPr>
          <w:p w14:paraId="604525DC" w14:textId="77777777" w:rsidR="00533126" w:rsidRPr="00533126" w:rsidRDefault="00533126" w:rsidP="00152DE7">
            <w:r w:rsidRPr="00533126">
              <w:t>The overall budget broken down to bucket-level media plan (e.g. by market, channel, or initiative) and associated media authorization and purchase orders.</w:t>
            </w:r>
          </w:p>
        </w:tc>
        <w:tc>
          <w:tcPr>
            <w:tcW w:w="792" w:type="pct"/>
            <w:shd w:val="clear" w:color="auto" w:fill="FFFFFF" w:themeFill="background1"/>
          </w:tcPr>
          <w:p w14:paraId="57CA460E" w14:textId="4452AADC" w:rsidR="00533126" w:rsidRPr="00533126" w:rsidRDefault="000B25F0" w:rsidP="00152DE7">
            <w:r>
              <w:t>[indicate which system(s) will provide this data]</w:t>
            </w:r>
          </w:p>
        </w:tc>
        <w:tc>
          <w:tcPr>
            <w:tcW w:w="1931" w:type="pct"/>
            <w:shd w:val="clear" w:color="auto" w:fill="FFFFFF" w:themeFill="background1"/>
          </w:tcPr>
          <w:p w14:paraId="05EE7ED3" w14:textId="0E00E714" w:rsidR="00533126" w:rsidRPr="00533126" w:rsidRDefault="000B25F0" w:rsidP="00152DE7">
            <w:r>
              <w:t>[describe how you will extract, transform, and load this data into your advertising investment database]</w:t>
            </w:r>
          </w:p>
        </w:tc>
      </w:tr>
      <w:tr w:rsidR="00533126" w:rsidRPr="00533126" w14:paraId="7B538D04" w14:textId="77777777" w:rsidTr="009E4851">
        <w:tc>
          <w:tcPr>
            <w:tcW w:w="695" w:type="pct"/>
            <w:shd w:val="clear" w:color="auto" w:fill="FFFFFF" w:themeFill="background1"/>
          </w:tcPr>
          <w:p w14:paraId="4D1FAA54" w14:textId="77777777" w:rsidR="00533126" w:rsidRPr="00533126" w:rsidRDefault="00533126" w:rsidP="00152DE7">
            <w:r w:rsidRPr="00533126">
              <w:t>Placement Data</w:t>
            </w:r>
          </w:p>
        </w:tc>
        <w:tc>
          <w:tcPr>
            <w:tcW w:w="1582" w:type="pct"/>
            <w:shd w:val="clear" w:color="auto" w:fill="FFFFFF" w:themeFill="background1"/>
          </w:tcPr>
          <w:p w14:paraId="52D64922" w14:textId="77777777" w:rsidR="00533126" w:rsidRPr="00533126" w:rsidRDefault="00533126" w:rsidP="00152DE7">
            <w:r w:rsidRPr="00533126">
              <w:t>The details of each advertising placement including vendor, program, product, targeting, start date, end date, unit of measure, rate, price, gross amount, net amount, and all other costs itemized.</w:t>
            </w:r>
          </w:p>
        </w:tc>
        <w:tc>
          <w:tcPr>
            <w:tcW w:w="792" w:type="pct"/>
            <w:shd w:val="clear" w:color="auto" w:fill="FFFFFF" w:themeFill="background1"/>
          </w:tcPr>
          <w:p w14:paraId="01C0776B" w14:textId="77777777" w:rsidR="00533126" w:rsidRPr="00533126" w:rsidRDefault="00533126" w:rsidP="00152DE7"/>
        </w:tc>
        <w:tc>
          <w:tcPr>
            <w:tcW w:w="1931" w:type="pct"/>
            <w:shd w:val="clear" w:color="auto" w:fill="FFFFFF" w:themeFill="background1"/>
          </w:tcPr>
          <w:p w14:paraId="4FB20416" w14:textId="77777777" w:rsidR="00533126" w:rsidRPr="00533126" w:rsidRDefault="00533126" w:rsidP="00152DE7"/>
        </w:tc>
      </w:tr>
      <w:tr w:rsidR="00533126" w:rsidRPr="00533126" w14:paraId="2FAC00E2" w14:textId="77777777" w:rsidTr="009E4851">
        <w:tc>
          <w:tcPr>
            <w:tcW w:w="695" w:type="pct"/>
            <w:shd w:val="clear" w:color="auto" w:fill="FFFFFF" w:themeFill="background1"/>
          </w:tcPr>
          <w:p w14:paraId="4F55DF2B" w14:textId="77777777" w:rsidR="00533126" w:rsidRPr="00533126" w:rsidRDefault="00533126" w:rsidP="00152DE7">
            <w:r w:rsidRPr="00533126">
              <w:t>KPI Data</w:t>
            </w:r>
          </w:p>
        </w:tc>
        <w:tc>
          <w:tcPr>
            <w:tcW w:w="1582" w:type="pct"/>
            <w:shd w:val="clear" w:color="auto" w:fill="FFFFFF" w:themeFill="background1"/>
          </w:tcPr>
          <w:p w14:paraId="2C5F5342" w14:textId="77777777" w:rsidR="00533126" w:rsidRPr="00533126" w:rsidRDefault="00533126" w:rsidP="00152DE7">
            <w:r w:rsidRPr="00533126">
              <w:t>Every placement’s KPIs broken down into daily goals including spending, delivery, engagement, and commercial goals.</w:t>
            </w:r>
          </w:p>
        </w:tc>
        <w:tc>
          <w:tcPr>
            <w:tcW w:w="792" w:type="pct"/>
            <w:shd w:val="clear" w:color="auto" w:fill="FFFFFF" w:themeFill="background1"/>
          </w:tcPr>
          <w:p w14:paraId="6009CE43" w14:textId="77777777" w:rsidR="00533126" w:rsidRPr="00533126" w:rsidRDefault="00533126" w:rsidP="00152DE7"/>
        </w:tc>
        <w:tc>
          <w:tcPr>
            <w:tcW w:w="1931" w:type="pct"/>
            <w:shd w:val="clear" w:color="auto" w:fill="FFFFFF" w:themeFill="background1"/>
          </w:tcPr>
          <w:p w14:paraId="733ABE86" w14:textId="77777777" w:rsidR="00533126" w:rsidRPr="00533126" w:rsidRDefault="00533126" w:rsidP="00152DE7"/>
        </w:tc>
      </w:tr>
      <w:tr w:rsidR="00533126" w:rsidRPr="00533126" w14:paraId="44FAF37B" w14:textId="77777777" w:rsidTr="009E4851">
        <w:tc>
          <w:tcPr>
            <w:tcW w:w="695" w:type="pct"/>
            <w:shd w:val="clear" w:color="auto" w:fill="FFFFFF" w:themeFill="background1"/>
          </w:tcPr>
          <w:p w14:paraId="74AAAEA6" w14:textId="77777777" w:rsidR="00533126" w:rsidRPr="00533126" w:rsidRDefault="00533126" w:rsidP="00152DE7">
            <w:r w:rsidRPr="00533126">
              <w:t>Performance Data</w:t>
            </w:r>
          </w:p>
        </w:tc>
        <w:tc>
          <w:tcPr>
            <w:tcW w:w="1582" w:type="pct"/>
            <w:shd w:val="clear" w:color="auto" w:fill="FFFFFF" w:themeFill="background1"/>
          </w:tcPr>
          <w:p w14:paraId="52FAFA42" w14:textId="77777777" w:rsidR="00533126" w:rsidRPr="00533126" w:rsidRDefault="00533126" w:rsidP="00152DE7">
            <w:r w:rsidRPr="00533126">
              <w:t>Daily (or more frequent) performance data for every KPI on every placement extracted from the appropriate marketing systems and transformed into standardized metrics.</w:t>
            </w:r>
          </w:p>
        </w:tc>
        <w:tc>
          <w:tcPr>
            <w:tcW w:w="792" w:type="pct"/>
            <w:shd w:val="clear" w:color="auto" w:fill="FFFFFF" w:themeFill="background1"/>
          </w:tcPr>
          <w:p w14:paraId="015F9BCF" w14:textId="77777777" w:rsidR="00533126" w:rsidRPr="00533126" w:rsidRDefault="00533126" w:rsidP="00152DE7"/>
        </w:tc>
        <w:tc>
          <w:tcPr>
            <w:tcW w:w="1931" w:type="pct"/>
            <w:shd w:val="clear" w:color="auto" w:fill="FFFFFF" w:themeFill="background1"/>
          </w:tcPr>
          <w:p w14:paraId="4BE901E8" w14:textId="77777777" w:rsidR="00533126" w:rsidRPr="00533126" w:rsidRDefault="00533126" w:rsidP="00152DE7"/>
        </w:tc>
      </w:tr>
      <w:tr w:rsidR="00533126" w:rsidRPr="00533126" w14:paraId="359543B4" w14:textId="77777777" w:rsidTr="009E4851">
        <w:tc>
          <w:tcPr>
            <w:tcW w:w="695" w:type="pct"/>
            <w:shd w:val="clear" w:color="auto" w:fill="FFFFFF" w:themeFill="background1"/>
          </w:tcPr>
          <w:p w14:paraId="6A5B7E96" w14:textId="77777777" w:rsidR="00533126" w:rsidRPr="00533126" w:rsidRDefault="00533126" w:rsidP="00152DE7">
            <w:r w:rsidRPr="00533126">
              <w:t>Pacing Data</w:t>
            </w:r>
          </w:p>
        </w:tc>
        <w:tc>
          <w:tcPr>
            <w:tcW w:w="1582" w:type="pct"/>
            <w:shd w:val="clear" w:color="auto" w:fill="FFFFFF" w:themeFill="background1"/>
          </w:tcPr>
          <w:p w14:paraId="53143694" w14:textId="77777777" w:rsidR="00533126" w:rsidRPr="00533126" w:rsidRDefault="00533126" w:rsidP="00152DE7">
            <w:r w:rsidRPr="00533126">
              <w:t>Pacing data is derived by calculating the difference between KPI goal data to actual performance data.</w:t>
            </w:r>
          </w:p>
        </w:tc>
        <w:tc>
          <w:tcPr>
            <w:tcW w:w="792" w:type="pct"/>
            <w:shd w:val="clear" w:color="auto" w:fill="FFFFFF" w:themeFill="background1"/>
          </w:tcPr>
          <w:p w14:paraId="497EAFCB" w14:textId="77777777" w:rsidR="00533126" w:rsidRPr="00533126" w:rsidRDefault="00533126" w:rsidP="00152DE7"/>
        </w:tc>
        <w:tc>
          <w:tcPr>
            <w:tcW w:w="1931" w:type="pct"/>
            <w:shd w:val="clear" w:color="auto" w:fill="FFFFFF" w:themeFill="background1"/>
          </w:tcPr>
          <w:p w14:paraId="1C2AEB65" w14:textId="77777777" w:rsidR="00533126" w:rsidRPr="00533126" w:rsidRDefault="00533126" w:rsidP="00152DE7"/>
        </w:tc>
      </w:tr>
      <w:tr w:rsidR="00533126" w:rsidRPr="00533126" w14:paraId="774275A9" w14:textId="77777777" w:rsidTr="009E4851">
        <w:tc>
          <w:tcPr>
            <w:tcW w:w="695" w:type="pct"/>
            <w:shd w:val="clear" w:color="auto" w:fill="FFFFFF" w:themeFill="background1"/>
          </w:tcPr>
          <w:p w14:paraId="3A532B34" w14:textId="77777777" w:rsidR="00533126" w:rsidRPr="00533126" w:rsidRDefault="00533126" w:rsidP="00152DE7">
            <w:r w:rsidRPr="00533126">
              <w:t>Finance Data</w:t>
            </w:r>
          </w:p>
        </w:tc>
        <w:tc>
          <w:tcPr>
            <w:tcW w:w="1582" w:type="pct"/>
            <w:shd w:val="clear" w:color="auto" w:fill="FFFFFF" w:themeFill="background1"/>
          </w:tcPr>
          <w:p w14:paraId="23AD496D" w14:textId="42974870" w:rsidR="00533126" w:rsidRPr="00533126" w:rsidRDefault="000B25F0" w:rsidP="00152DE7">
            <w:r>
              <w:t xml:space="preserve">Advertising </w:t>
            </w:r>
            <w:r w:rsidR="00533126" w:rsidRPr="00533126">
              <w:t>invoice, reconciliation, and payment transactions.</w:t>
            </w:r>
          </w:p>
        </w:tc>
        <w:tc>
          <w:tcPr>
            <w:tcW w:w="792" w:type="pct"/>
            <w:shd w:val="clear" w:color="auto" w:fill="FFFFFF" w:themeFill="background1"/>
          </w:tcPr>
          <w:p w14:paraId="49E6A4C7" w14:textId="77777777" w:rsidR="00533126" w:rsidRPr="00533126" w:rsidRDefault="00533126" w:rsidP="00152DE7"/>
        </w:tc>
        <w:tc>
          <w:tcPr>
            <w:tcW w:w="1931" w:type="pct"/>
            <w:shd w:val="clear" w:color="auto" w:fill="FFFFFF" w:themeFill="background1"/>
          </w:tcPr>
          <w:p w14:paraId="304C3964" w14:textId="77777777" w:rsidR="00533126" w:rsidRPr="00533126" w:rsidRDefault="00533126" w:rsidP="00152DE7"/>
        </w:tc>
      </w:tr>
    </w:tbl>
    <w:p w14:paraId="16749CE2" w14:textId="422063E8" w:rsidR="00533126" w:rsidRDefault="00533126"/>
    <w:sectPr w:rsidR="00533126" w:rsidSect="005331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26"/>
    <w:rsid w:val="000B25F0"/>
    <w:rsid w:val="002A7252"/>
    <w:rsid w:val="003A3DC1"/>
    <w:rsid w:val="00533126"/>
    <w:rsid w:val="007A1772"/>
    <w:rsid w:val="008810B1"/>
    <w:rsid w:val="009E4851"/>
    <w:rsid w:val="00AD68DE"/>
    <w:rsid w:val="00CF1906"/>
    <w:rsid w:val="00DC1C05"/>
    <w:rsid w:val="00F3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E2B7"/>
  <w15:chartTrackingRefBased/>
  <w15:docId w15:val="{E4941539-FB41-4135-890C-EEFB41F8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3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bionic-ads.com/2020/08/anatomy-of-an-advertising-investment-tracking-syste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4522FA6AF6043B45FC5A0B5FACD8E" ma:contentTypeVersion="13" ma:contentTypeDescription="Create a new document." ma:contentTypeScope="" ma:versionID="9bb2abcd4899a5716283d2ce2596f345">
  <xsd:schema xmlns:xsd="http://www.w3.org/2001/XMLSchema" xmlns:xs="http://www.w3.org/2001/XMLSchema" xmlns:p="http://schemas.microsoft.com/office/2006/metadata/properties" xmlns:ns3="f5a6b015-a7e0-45e9-b548-9e5b4e2c4ef8" xmlns:ns4="e920d56d-0e53-4e55-aac7-edf6572d8dbc" targetNamespace="http://schemas.microsoft.com/office/2006/metadata/properties" ma:root="true" ma:fieldsID="cbd26824cf7717f49c43f8b8da21fd17" ns3:_="" ns4:_="">
    <xsd:import namespace="f5a6b015-a7e0-45e9-b548-9e5b4e2c4ef8"/>
    <xsd:import namespace="e920d56d-0e53-4e55-aac7-edf6572d8d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6b015-a7e0-45e9-b548-9e5b4e2c4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0d56d-0e53-4e55-aac7-edf6572d8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82656-F5AF-44A8-811F-E7B0A9CF0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4E061-B8B5-4216-9146-15C2ECE8D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9CD42-7B0F-4506-97EB-CCDD6AE63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6b015-a7e0-45e9-b548-9e5b4e2c4ef8"/>
    <ds:schemaRef ds:uri="e920d56d-0e53-4e55-aac7-edf6572d8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Pych</dc:creator>
  <cp:keywords/>
  <dc:description/>
  <cp:lastModifiedBy>Joseph Pych</cp:lastModifiedBy>
  <cp:revision>7</cp:revision>
  <dcterms:created xsi:type="dcterms:W3CDTF">2020-08-07T15:16:00Z</dcterms:created>
  <dcterms:modified xsi:type="dcterms:W3CDTF">2020-08-07T20:03:00Z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0x010100E854522FA6AF6043B45FC5A0B5FACD8E</vt:lpwstr>
  </property>
</Properties>
</file>